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20708" w:rsidRDefault="00F92268" w:rsidP="00850792">
      <w:pPr>
        <w:pStyle w:val="BodyText"/>
        <w:rPr>
          <w:sz w:val="6"/>
          <w:szCs w:val="6"/>
        </w:rPr>
      </w:pPr>
      <w:r w:rsidRPr="00E2070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2070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20708" w:rsidRDefault="00F92268" w:rsidP="00F246C7">
            <w:pPr>
              <w:pStyle w:val="RefTableData"/>
            </w:pPr>
            <w:r w:rsidRPr="00E20708">
              <w:t>Reference number(s)</w:t>
            </w:r>
          </w:p>
        </w:tc>
      </w:tr>
      <w:tr w:rsidR="00F92268" w:rsidRPr="00E2070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1591FBB" w:rsidR="00F92268" w:rsidRPr="00E20708" w:rsidRDefault="00E20708" w:rsidP="00F246C7">
            <w:pPr>
              <w:pStyle w:val="RefTableHeader"/>
            </w:pPr>
            <w:r w:rsidRPr="00E20708">
              <w:t>2965-A</w:t>
            </w:r>
          </w:p>
        </w:tc>
      </w:tr>
    </w:tbl>
    <w:p w14:paraId="74FBA5B4" w14:textId="77777777" w:rsidR="00051356" w:rsidRPr="00E20708" w:rsidRDefault="00051356" w:rsidP="00A672B3">
      <w:pPr>
        <w:pStyle w:val="BodyText"/>
        <w:rPr>
          <w:b/>
          <w:bCs/>
          <w:sz w:val="16"/>
          <w:szCs w:val="16"/>
        </w:rPr>
        <w:sectPr w:rsidR="00051356" w:rsidRPr="00E20708"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13B68C21" w14:textId="349B9D28" w:rsidR="00F8761D" w:rsidRPr="00E20708" w:rsidRDefault="000D1049" w:rsidP="000D1049">
      <w:pPr>
        <w:pStyle w:val="Heading1"/>
      </w:pPr>
      <w:r w:rsidRPr="00E20708">
        <w:t>Specialty Guideline Management</w:t>
      </w:r>
      <w:r w:rsidRPr="00E20708">
        <w:br/>
      </w:r>
      <w:proofErr w:type="spellStart"/>
      <w:r w:rsidRPr="00E20708">
        <w:t>Balversa</w:t>
      </w:r>
      <w:proofErr w:type="spellEnd"/>
    </w:p>
    <w:p w14:paraId="78861C92" w14:textId="580D5DE5" w:rsidR="00203468" w:rsidRPr="00E20708" w:rsidRDefault="00C64534" w:rsidP="008E0F0D">
      <w:pPr>
        <w:pStyle w:val="Heading2"/>
      </w:pPr>
      <w:r w:rsidRPr="00E20708">
        <w:t xml:space="preserve">Products Referenced by this </w:t>
      </w:r>
      <w:r w:rsidR="00501602" w:rsidRPr="00E20708">
        <w:t>Document</w:t>
      </w:r>
    </w:p>
    <w:p w14:paraId="5455152B" w14:textId="54FF31D1" w:rsidR="008E0F0D" w:rsidRPr="00E20708" w:rsidRDefault="00D82D85" w:rsidP="008B73E8">
      <w:pPr>
        <w:pStyle w:val="BodyText"/>
      </w:pPr>
      <w:r w:rsidRPr="00E20708">
        <w:t xml:space="preserve">Drugs that are listed in the </w:t>
      </w:r>
      <w:r w:rsidR="000315F1" w:rsidRPr="00E20708">
        <w:t>following table</w:t>
      </w:r>
      <w:r w:rsidRPr="00E20708">
        <w:t xml:space="preserve"> include both brand and generic and all dosage forms and strengths unless otherwise stated. </w:t>
      </w:r>
      <w:r w:rsidR="00353CB1">
        <w:rPr>
          <w:rStyle w:val="ui-provider"/>
        </w:rPr>
        <w:t>Over-the-counter (OTC)</w:t>
      </w:r>
      <w:r w:rsidRPr="00E20708">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05"/>
      </w:tblGrid>
      <w:tr w:rsidR="005B4D7C" w:rsidRPr="00E20708" w14:paraId="057AAA89" w14:textId="77777777" w:rsidTr="00EF4BB1">
        <w:trPr>
          <w:cantSplit/>
          <w:trHeight w:val="288"/>
          <w:tblHeader/>
        </w:trPr>
        <w:tc>
          <w:tcPr>
            <w:tcW w:w="5265" w:type="dxa"/>
            <w:vAlign w:val="center"/>
          </w:tcPr>
          <w:p w14:paraId="6CBFE1BD" w14:textId="77777777" w:rsidR="005B4D7C" w:rsidRPr="00E20708" w:rsidRDefault="005B4D7C">
            <w:pPr>
              <w:pStyle w:val="TableHeader"/>
            </w:pPr>
            <w:r w:rsidRPr="00E20708">
              <w:t>Brand Name</w:t>
            </w:r>
          </w:p>
        </w:tc>
        <w:tc>
          <w:tcPr>
            <w:tcW w:w="5505" w:type="dxa"/>
            <w:vAlign w:val="center"/>
          </w:tcPr>
          <w:p w14:paraId="18440B85" w14:textId="77777777" w:rsidR="005B4D7C" w:rsidRPr="00E20708" w:rsidRDefault="005B4D7C">
            <w:pPr>
              <w:pStyle w:val="TableHeader"/>
            </w:pPr>
            <w:r w:rsidRPr="00E20708">
              <w:t>Generic Name</w:t>
            </w:r>
          </w:p>
        </w:tc>
      </w:tr>
      <w:tr w:rsidR="005B4D7C" w:rsidRPr="00E20708" w14:paraId="7742B1EC" w14:textId="77777777" w:rsidTr="00EF4BB1">
        <w:trPr>
          <w:cantSplit/>
        </w:trPr>
        <w:tc>
          <w:tcPr>
            <w:tcW w:w="5265" w:type="dxa"/>
          </w:tcPr>
          <w:p w14:paraId="4DED0C9B" w14:textId="0A732EFE" w:rsidR="005B4D7C" w:rsidRPr="00E20708" w:rsidRDefault="00EF4BB1">
            <w:pPr>
              <w:pStyle w:val="TableDataUnpadded"/>
            </w:pPr>
            <w:proofErr w:type="spellStart"/>
            <w:r w:rsidRPr="00E20708">
              <w:t>Balversa</w:t>
            </w:r>
            <w:proofErr w:type="spellEnd"/>
          </w:p>
        </w:tc>
        <w:tc>
          <w:tcPr>
            <w:tcW w:w="5505" w:type="dxa"/>
          </w:tcPr>
          <w:p w14:paraId="1A09710D" w14:textId="2C48262D" w:rsidR="005B4D7C" w:rsidRPr="00E20708" w:rsidRDefault="00EF4BB1">
            <w:pPr>
              <w:pStyle w:val="TableDataUnpadded"/>
            </w:pPr>
            <w:r w:rsidRPr="00E20708">
              <w:t>erdafitinib</w:t>
            </w:r>
          </w:p>
        </w:tc>
      </w:tr>
    </w:tbl>
    <w:p w14:paraId="14CE6108" w14:textId="4A2C773A" w:rsidR="00FC1AAD" w:rsidRPr="00E20708" w:rsidRDefault="00ED052F" w:rsidP="00557392">
      <w:pPr>
        <w:pStyle w:val="Heading2"/>
        <w:tabs>
          <w:tab w:val="left" w:pos="9540"/>
        </w:tabs>
      </w:pPr>
      <w:r w:rsidRPr="00E20708">
        <w:t>Indications</w:t>
      </w:r>
    </w:p>
    <w:p w14:paraId="4691C4BE" w14:textId="77777777" w:rsidR="007322B4" w:rsidRPr="00E20708" w:rsidRDefault="007322B4" w:rsidP="007322B4">
      <w:pPr>
        <w:pStyle w:val="BodyText"/>
      </w:pPr>
      <w:r w:rsidRPr="00E20708">
        <w:t>The indications below including FDA-approved indications and compendial uses are considered a covered benefit provided that all the approval criteria are met and the member has no exclusions to the prescribed therapy.</w:t>
      </w:r>
    </w:p>
    <w:p w14:paraId="134B5687" w14:textId="6839B9DB" w:rsidR="00ED052F" w:rsidRPr="00E20708" w:rsidRDefault="00ED052F" w:rsidP="00ED052F">
      <w:pPr>
        <w:pStyle w:val="Heading3"/>
        <w:keepNext w:val="0"/>
      </w:pPr>
      <w:r w:rsidRPr="00E20708">
        <w:t>FDA-approved Indications</w:t>
      </w:r>
      <w:r w:rsidR="00190889" w:rsidRPr="00E20708">
        <w:rPr>
          <w:vertAlign w:val="superscript"/>
        </w:rPr>
        <w:t>1</w:t>
      </w:r>
    </w:p>
    <w:p w14:paraId="2D4E0A1F" w14:textId="50E8CB44" w:rsidR="008E0D4E" w:rsidRPr="00E20708" w:rsidRDefault="008E0D4E" w:rsidP="008E0D4E">
      <w:pPr>
        <w:pStyle w:val="BodyText"/>
      </w:pPr>
      <w:proofErr w:type="spellStart"/>
      <w:r w:rsidRPr="00E20708">
        <w:t>Balversa</w:t>
      </w:r>
      <w:proofErr w:type="spellEnd"/>
      <w:r w:rsidRPr="00E20708">
        <w:t xml:space="preserve"> is indicated for the treatment of adult patients with locally advanced or metastatic urothelial carcinoma (</w:t>
      </w:r>
      <w:proofErr w:type="spellStart"/>
      <w:r w:rsidRPr="00E20708">
        <w:t>mUC</w:t>
      </w:r>
      <w:proofErr w:type="spellEnd"/>
      <w:r w:rsidRPr="00E20708">
        <w:t>) with susceptible FGFR3 genetic alterations whose disease has progressed on or after at least one line of prior systemic therapy.</w:t>
      </w:r>
    </w:p>
    <w:p w14:paraId="2E8638C6" w14:textId="77777777" w:rsidR="008E0D4E" w:rsidRPr="00E20708" w:rsidRDefault="008E0D4E" w:rsidP="008E0D4E">
      <w:pPr>
        <w:pStyle w:val="Heading3"/>
        <w:keepNext w:val="0"/>
        <w:rPr>
          <w:bCs w:val="0"/>
        </w:rPr>
      </w:pPr>
      <w:r w:rsidRPr="00E20708">
        <w:t>Compendial</w:t>
      </w:r>
      <w:r w:rsidRPr="00E20708">
        <w:rPr>
          <w:bCs w:val="0"/>
        </w:rPr>
        <w:t xml:space="preserve"> Use</w:t>
      </w:r>
      <w:r w:rsidRPr="00E20708">
        <w:rPr>
          <w:bCs w:val="0"/>
          <w:vertAlign w:val="superscript"/>
        </w:rPr>
        <w:t>2</w:t>
      </w:r>
    </w:p>
    <w:p w14:paraId="6E3CD839" w14:textId="77777777" w:rsidR="008E0D4E" w:rsidRPr="00E20708" w:rsidRDefault="008E0D4E" w:rsidP="00FC4AC5">
      <w:pPr>
        <w:pStyle w:val="Heading4"/>
      </w:pPr>
      <w:r w:rsidRPr="00E20708">
        <w:t>Urothelial Carcinoma</w:t>
      </w:r>
    </w:p>
    <w:p w14:paraId="2F3FE9CF" w14:textId="77777777" w:rsidR="008E0D4E" w:rsidRPr="00E20708" w:rsidRDefault="008E0D4E" w:rsidP="00FC4AC5">
      <w:pPr>
        <w:pStyle w:val="ListParagraph"/>
        <w:numPr>
          <w:ilvl w:val="0"/>
          <w:numId w:val="30"/>
        </w:numPr>
      </w:pPr>
      <w:r w:rsidRPr="00E20708">
        <w:t>Bladder cancer</w:t>
      </w:r>
    </w:p>
    <w:p w14:paraId="41F981A4" w14:textId="77777777" w:rsidR="008E0D4E" w:rsidRPr="00E20708" w:rsidRDefault="008E0D4E" w:rsidP="00FC4AC5">
      <w:pPr>
        <w:pStyle w:val="ListParagraph"/>
        <w:numPr>
          <w:ilvl w:val="0"/>
          <w:numId w:val="30"/>
        </w:numPr>
      </w:pPr>
      <w:r w:rsidRPr="00E20708">
        <w:t>Primary carcinoma of the urethra</w:t>
      </w:r>
    </w:p>
    <w:p w14:paraId="1BEF4972" w14:textId="77777777" w:rsidR="008E0D4E" w:rsidRPr="00E20708" w:rsidRDefault="008E0D4E" w:rsidP="00FC4AC5">
      <w:pPr>
        <w:pStyle w:val="ListParagraph"/>
        <w:numPr>
          <w:ilvl w:val="0"/>
          <w:numId w:val="30"/>
        </w:numPr>
      </w:pPr>
      <w:r w:rsidRPr="00E20708">
        <w:t>Upper genitourinary (GU) tract tumors</w:t>
      </w:r>
    </w:p>
    <w:p w14:paraId="45E15E39" w14:textId="77777777" w:rsidR="008E0D4E" w:rsidRPr="00E20708" w:rsidRDefault="008E0D4E" w:rsidP="00FC4AC5">
      <w:pPr>
        <w:pStyle w:val="ListParagraph"/>
        <w:numPr>
          <w:ilvl w:val="0"/>
          <w:numId w:val="30"/>
        </w:numPr>
      </w:pPr>
      <w:r w:rsidRPr="00E20708">
        <w:t xml:space="preserve">Urothelial carcinoma of the prostate </w:t>
      </w:r>
    </w:p>
    <w:p w14:paraId="157A656C" w14:textId="77777777" w:rsidR="00FC4AC5" w:rsidRPr="00E20708" w:rsidRDefault="00FC4AC5" w:rsidP="00FC4AC5">
      <w:pPr>
        <w:pStyle w:val="BodyText"/>
      </w:pPr>
      <w:r w:rsidRPr="00E20708">
        <w:t xml:space="preserve">All other indications are considered experimental/investigational and </w:t>
      </w:r>
      <w:r w:rsidRPr="00E20708">
        <w:rPr>
          <w:rFonts w:eastAsia="Arial"/>
        </w:rPr>
        <w:t>not medically necessary.</w:t>
      </w:r>
    </w:p>
    <w:p w14:paraId="36381B6D" w14:textId="571EBEF7" w:rsidR="000D2496" w:rsidRPr="00E20708" w:rsidRDefault="000D2496" w:rsidP="00EC4603">
      <w:pPr>
        <w:pStyle w:val="Heading2"/>
        <w:tabs>
          <w:tab w:val="left" w:pos="9450"/>
        </w:tabs>
      </w:pPr>
      <w:r w:rsidRPr="00E20708">
        <w:lastRenderedPageBreak/>
        <w:t>Documentation</w:t>
      </w:r>
    </w:p>
    <w:p w14:paraId="07D3D135" w14:textId="77777777" w:rsidR="00FC4AC5" w:rsidRPr="00E20708" w:rsidRDefault="00FC4AC5" w:rsidP="00FC4AC5">
      <w:pPr>
        <w:pStyle w:val="BodyText"/>
      </w:pPr>
      <w:r w:rsidRPr="00E20708">
        <w:t>Submission of the following information is necessary to initiate the prior authorization review: Fibroblast growth factor receptor 3 (FGFR3) mutation status.</w:t>
      </w:r>
    </w:p>
    <w:p w14:paraId="50A38FBA" w14:textId="2621198C" w:rsidR="00FE0C63" w:rsidRPr="00E20708" w:rsidRDefault="00685107" w:rsidP="00E050E1">
      <w:pPr>
        <w:pStyle w:val="Heading2"/>
      </w:pPr>
      <w:r w:rsidRPr="00E20708">
        <w:t>Coverage Criteria</w:t>
      </w:r>
    </w:p>
    <w:p w14:paraId="42EEE9A3" w14:textId="1445BDB2" w:rsidR="00FC4AC5" w:rsidRPr="00E20708" w:rsidRDefault="00FC4AC5" w:rsidP="00FC4AC5">
      <w:pPr>
        <w:pStyle w:val="Heading3"/>
      </w:pPr>
      <w:r w:rsidRPr="00E20708">
        <w:t>Urothelial carcinoma – Bladder cancer</w:t>
      </w:r>
      <w:r w:rsidRPr="00E20708">
        <w:rPr>
          <w:vertAlign w:val="superscript"/>
        </w:rPr>
        <w:t>1,2</w:t>
      </w:r>
    </w:p>
    <w:p w14:paraId="6285E097" w14:textId="77777777" w:rsidR="00FC4AC5" w:rsidRPr="00E20708" w:rsidRDefault="00FC4AC5" w:rsidP="00FC4AC5">
      <w:pPr>
        <w:pStyle w:val="BodyText"/>
      </w:pPr>
      <w:r w:rsidRPr="00E20708">
        <w:t>Authorization of 12 months may be granted for treatment of bladder cancer with FGFR3 genetic alterations as a single agent when used as subsequent therapy for any of the following:</w:t>
      </w:r>
    </w:p>
    <w:p w14:paraId="4505DA8B" w14:textId="77777777" w:rsidR="00FC4AC5" w:rsidRPr="00E20708" w:rsidRDefault="00FC4AC5" w:rsidP="00FC4AC5">
      <w:pPr>
        <w:pStyle w:val="ListParagraph"/>
      </w:pPr>
      <w:r w:rsidRPr="00E20708">
        <w:t>Stage II disease if tumor is present following reassessment of tumor status 2-3 months after primary treatment with concurrent bladder preserving chemoradiotherapy, and maximal transurethral resection of bladder tumor (TURBT)</w:t>
      </w:r>
    </w:p>
    <w:p w14:paraId="0C9DF099" w14:textId="77777777" w:rsidR="00FC4AC5" w:rsidRPr="00E20708" w:rsidRDefault="00FC4AC5" w:rsidP="00FC4AC5">
      <w:pPr>
        <w:pStyle w:val="ListParagraph"/>
      </w:pPr>
      <w:r w:rsidRPr="00E20708">
        <w:t>Locally advanced or metastatic disease</w:t>
      </w:r>
    </w:p>
    <w:p w14:paraId="2223D8DA" w14:textId="77777777" w:rsidR="00FC4AC5" w:rsidRPr="00E20708" w:rsidRDefault="00FC4AC5" w:rsidP="00FC4AC5">
      <w:pPr>
        <w:pStyle w:val="ListParagraph"/>
      </w:pPr>
      <w:r w:rsidRPr="00E20708">
        <w:t>Metastatic or local recurrence post-cystectomy</w:t>
      </w:r>
    </w:p>
    <w:p w14:paraId="5442F0AC" w14:textId="77777777" w:rsidR="00FC4AC5" w:rsidRPr="00E20708" w:rsidRDefault="00FC4AC5" w:rsidP="00FC4AC5">
      <w:pPr>
        <w:pStyle w:val="ListParagraph"/>
      </w:pPr>
      <w:r w:rsidRPr="00E20708">
        <w:t>Muscle invasive local recurrence or persistent disease in a preserved bladder</w:t>
      </w:r>
    </w:p>
    <w:p w14:paraId="56919DFB" w14:textId="77777777" w:rsidR="00FC4AC5" w:rsidRPr="00E20708" w:rsidRDefault="00FC4AC5" w:rsidP="00FC4AC5">
      <w:pPr>
        <w:pStyle w:val="Heading3"/>
      </w:pPr>
      <w:r w:rsidRPr="00E20708">
        <w:t>Urothelial Carcinoma – Primary Carcinoma of the Urethra</w:t>
      </w:r>
      <w:r w:rsidRPr="00E20708">
        <w:rPr>
          <w:vertAlign w:val="superscript"/>
        </w:rPr>
        <w:t>1,2</w:t>
      </w:r>
    </w:p>
    <w:p w14:paraId="2B668352" w14:textId="77777777" w:rsidR="00FC4AC5" w:rsidRPr="00E20708" w:rsidRDefault="00FC4AC5" w:rsidP="00FC4AC5">
      <w:pPr>
        <w:pStyle w:val="BodyText"/>
      </w:pPr>
      <w:r w:rsidRPr="00E20708">
        <w:t>Authorization of 12 months may be granted for the treatment of primary carcinoma of the urethra with FGFR3 genetic alterations as a single agent when used as subsequent therapy for locally advanced, recurrent or metastatic disease.</w:t>
      </w:r>
    </w:p>
    <w:p w14:paraId="2C67B2C7" w14:textId="77777777" w:rsidR="00FC4AC5" w:rsidRPr="00E20708" w:rsidRDefault="00FC4AC5" w:rsidP="00FC4AC5">
      <w:pPr>
        <w:pStyle w:val="Heading3"/>
      </w:pPr>
      <w:r w:rsidRPr="00E20708">
        <w:t>Urothelial Carcinoma – Upper Genitourinary (GU) Tract Tumors</w:t>
      </w:r>
      <w:r w:rsidRPr="00E20708">
        <w:rPr>
          <w:vertAlign w:val="superscript"/>
        </w:rPr>
        <w:t>1,2</w:t>
      </w:r>
    </w:p>
    <w:p w14:paraId="214234A4" w14:textId="77777777" w:rsidR="00FC4AC5" w:rsidRPr="00E20708" w:rsidRDefault="00FC4AC5" w:rsidP="00FC4AC5">
      <w:pPr>
        <w:pStyle w:val="BodyText"/>
      </w:pPr>
      <w:r w:rsidRPr="00E20708">
        <w:t>Authorization of 12 months may be granted for the treatment of upper genitourinary (GU) tract tumors with FGFR3 genetic alterations as a single agent when used as subsequent therapy for locally advanced or metastatic disease.</w:t>
      </w:r>
    </w:p>
    <w:p w14:paraId="4CEC6271" w14:textId="77777777" w:rsidR="00FC4AC5" w:rsidRPr="00E20708" w:rsidRDefault="00FC4AC5" w:rsidP="00FC4AC5">
      <w:pPr>
        <w:pStyle w:val="Heading3"/>
      </w:pPr>
      <w:r w:rsidRPr="00E20708">
        <w:t>Urothelial Carcinoma – Urothelial Carcinoma of the Prostate</w:t>
      </w:r>
      <w:r w:rsidRPr="00E20708">
        <w:rPr>
          <w:vertAlign w:val="superscript"/>
        </w:rPr>
        <w:t>1,2</w:t>
      </w:r>
    </w:p>
    <w:p w14:paraId="45EE1601" w14:textId="77777777" w:rsidR="00E20708" w:rsidRPr="00E20708" w:rsidRDefault="00FC4AC5" w:rsidP="00FC4AC5">
      <w:pPr>
        <w:pStyle w:val="BodyText"/>
      </w:pPr>
      <w:r w:rsidRPr="00E20708">
        <w:t>Authorization of 12 months may be granted for the treatment of urothelial carcinoma of the prostate with FGFR3 genetic alterations as a single agent when used as subsequent therapy for locally advanced or metastatic disease.</w:t>
      </w:r>
    </w:p>
    <w:p w14:paraId="3A643EC3" w14:textId="34048DA4" w:rsidR="00A501AC" w:rsidRPr="00E20708" w:rsidRDefault="00A501AC" w:rsidP="00A501AC">
      <w:pPr>
        <w:pStyle w:val="Heading2"/>
      </w:pPr>
      <w:r w:rsidRPr="00E20708">
        <w:t>Continuation of Therapy</w:t>
      </w:r>
    </w:p>
    <w:p w14:paraId="127F5607" w14:textId="77777777" w:rsidR="00FC4AC5" w:rsidRPr="00E20708" w:rsidRDefault="00FC4AC5" w:rsidP="00FC4AC5">
      <w:pPr>
        <w:pStyle w:val="BodyText"/>
      </w:pPr>
      <w:r w:rsidRPr="00E20708">
        <w:t>Authorization of 12 months may be granted for continued treatment in members requesting reauthorization for an indication listed in the coverage criteria section when there is no evidence of unacceptable toxicity</w:t>
      </w:r>
      <w:r w:rsidRPr="00E20708" w:rsidDel="00084B6A">
        <w:t xml:space="preserve"> </w:t>
      </w:r>
      <w:r w:rsidRPr="00E20708">
        <w:t>or disease progression while on the current regimen.</w:t>
      </w:r>
    </w:p>
    <w:p w14:paraId="247F2586" w14:textId="2093EB63" w:rsidR="00FC4AC5" w:rsidRPr="00E20708" w:rsidRDefault="00FF66BF" w:rsidP="00FC4AC5">
      <w:pPr>
        <w:pStyle w:val="Heading2"/>
      </w:pPr>
      <w:bookmarkStart w:id="0" w:name="S2.2"/>
      <w:bookmarkStart w:id="1" w:name="section-2.2"/>
      <w:bookmarkStart w:id="2" w:name="section-2.2.1"/>
      <w:bookmarkStart w:id="3" w:name="section-2.2.2"/>
      <w:bookmarkEnd w:id="0"/>
      <w:bookmarkEnd w:id="1"/>
      <w:bookmarkEnd w:id="2"/>
      <w:bookmarkEnd w:id="3"/>
      <w:r w:rsidRPr="00E20708">
        <w:t>References</w:t>
      </w:r>
    </w:p>
    <w:p w14:paraId="5A651A6B" w14:textId="77777777" w:rsidR="00FC4AC5" w:rsidRPr="00E20708" w:rsidRDefault="00FC4AC5" w:rsidP="00FC4AC5">
      <w:pPr>
        <w:pStyle w:val="ReferenceOrdered"/>
      </w:pPr>
      <w:proofErr w:type="spellStart"/>
      <w:r w:rsidRPr="00E20708">
        <w:t>Balversa</w:t>
      </w:r>
      <w:proofErr w:type="spellEnd"/>
      <w:r w:rsidRPr="00E20708">
        <w:t xml:space="preserve"> [package insert]. Horsham, PA: Janssen Products, LP; February 2024.</w:t>
      </w:r>
    </w:p>
    <w:p w14:paraId="79375281" w14:textId="2A92419E" w:rsidR="00FC4AC5" w:rsidRPr="00E20708" w:rsidRDefault="00FC4AC5" w:rsidP="00FC4AC5">
      <w:pPr>
        <w:pStyle w:val="ReferenceOrdered"/>
      </w:pPr>
      <w:r w:rsidRPr="00E20708">
        <w:t>The NCCN Drugs &amp; Biologics Compendium® © 2024 National Comprehensive Cancer Network, Inc. Available at: http://www.nccn.org. Accessed June 12, 2024.</w:t>
      </w:r>
    </w:p>
    <w:sectPr w:rsidR="00FC4AC5" w:rsidRPr="00E20708"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C3462" w14:textId="77777777" w:rsidR="00C35F79" w:rsidRDefault="00C35F79">
      <w:r>
        <w:separator/>
      </w:r>
    </w:p>
  </w:endnote>
  <w:endnote w:type="continuationSeparator" w:id="0">
    <w:p w14:paraId="1F5DAEFF" w14:textId="77777777" w:rsidR="00C35F79" w:rsidRDefault="00C35F79">
      <w:r>
        <w:continuationSeparator/>
      </w:r>
    </w:p>
  </w:endnote>
  <w:endnote w:type="continuationNotice" w:id="1">
    <w:p w14:paraId="2832DFFE" w14:textId="77777777" w:rsidR="00C35F79" w:rsidRDefault="00C35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495C67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B5ED0" w:rsidRPr="004B5ED0">
      <w:rPr>
        <w:rFonts w:cs="Arial"/>
        <w:noProof/>
        <w:sz w:val="16"/>
        <w:szCs w:val="16"/>
      </w:rPr>
      <w:t>Balversa</w:t>
    </w:r>
    <w:r w:rsidR="004B5ED0">
      <w:rPr>
        <w:rFonts w:cs="Arial"/>
        <w:noProof/>
        <w:snapToGrid w:val="0"/>
        <w:color w:val="000000"/>
        <w:sz w:val="16"/>
        <w:szCs w:val="16"/>
      </w:rPr>
      <w:t xml:space="preserve"> SGM 2965-A</w:t>
    </w:r>
    <w:r w:rsidR="004B5ED0" w:rsidRPr="004B5ED0">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C94046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5DF40D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D377F">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4B5ED0" w:rsidRPr="004B5ED0">
      <w:rPr>
        <w:rFonts w:cs="Arial"/>
        <w:noProof/>
        <w:sz w:val="16"/>
        <w:szCs w:val="16"/>
        <w:lang w:val="it-IT"/>
      </w:rPr>
      <w:t>Balversa</w:t>
    </w:r>
    <w:r w:rsidR="004B5ED0">
      <w:rPr>
        <w:rFonts w:cs="Arial"/>
        <w:noProof/>
        <w:snapToGrid w:val="0"/>
        <w:color w:val="000000"/>
        <w:sz w:val="16"/>
        <w:szCs w:val="16"/>
        <w:lang w:val="it-IT"/>
      </w:rPr>
      <w:t xml:space="preserve"> SGM 2965-A</w:t>
    </w:r>
    <w:r w:rsidR="004B5ED0" w:rsidRPr="004B5ED0">
      <w:rPr>
        <w:rFonts w:cs="Arial"/>
        <w:noProof/>
        <w:sz w:val="16"/>
        <w:szCs w:val="16"/>
        <w:lang w:val="it-IT"/>
      </w:rPr>
      <w:t xml:space="preserve"> P2024.docx</w:t>
    </w:r>
    <w:r w:rsidRPr="00EC47B6">
      <w:rPr>
        <w:rFonts w:cs="Arial"/>
        <w:noProof/>
        <w:sz w:val="16"/>
        <w:szCs w:val="16"/>
      </w:rPr>
      <w:fldChar w:fldCharType="end"/>
    </w:r>
    <w:r w:rsidRPr="002D377F">
      <w:rPr>
        <w:rFonts w:cs="Arial"/>
        <w:snapToGrid w:val="0"/>
        <w:color w:val="000000"/>
        <w:sz w:val="16"/>
        <w:lang w:val="it-IT"/>
      </w:rPr>
      <w:tab/>
      <w:t>© 202</w:t>
    </w:r>
    <w:r w:rsidR="00D74279" w:rsidRPr="002D377F">
      <w:rPr>
        <w:rFonts w:cs="Arial"/>
        <w:snapToGrid w:val="0"/>
        <w:color w:val="000000"/>
        <w:sz w:val="16"/>
        <w:lang w:val="it-IT"/>
      </w:rPr>
      <w:t>4</w:t>
    </w:r>
    <w:r w:rsidRPr="002D377F">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0DB8C3F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32F1C00" w:rsidR="00ED04EC" w:rsidRPr="00F50D98" w:rsidRDefault="00F50D98" w:rsidP="00C5350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BD13" w14:textId="77777777" w:rsidR="00283AE4" w:rsidRPr="00EC47B6" w:rsidRDefault="00283AE4" w:rsidP="00283AE4">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D377F">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Pr="00BD7961">
      <w:rPr>
        <w:rFonts w:cs="Arial"/>
        <w:noProof/>
        <w:sz w:val="16"/>
        <w:szCs w:val="16"/>
        <w:lang w:val="it-IT"/>
      </w:rPr>
      <w:t>Balversa</w:t>
    </w:r>
    <w:r>
      <w:rPr>
        <w:rFonts w:cs="Arial"/>
        <w:noProof/>
        <w:snapToGrid w:val="0"/>
        <w:color w:val="000000"/>
        <w:sz w:val="16"/>
        <w:szCs w:val="16"/>
        <w:lang w:val="it-IT"/>
      </w:rPr>
      <w:t xml:space="preserve"> SGM 2965-A</w:t>
    </w:r>
    <w:r w:rsidRPr="00BD7961">
      <w:rPr>
        <w:rFonts w:cs="Arial"/>
        <w:noProof/>
        <w:sz w:val="16"/>
        <w:szCs w:val="16"/>
        <w:lang w:val="it-IT"/>
      </w:rPr>
      <w:t xml:space="preserve"> 2024</w:t>
    </w:r>
    <w:r>
      <w:rPr>
        <w:rFonts w:cs="Arial"/>
        <w:noProof/>
        <w:snapToGrid w:val="0"/>
        <w:color w:val="000000"/>
        <w:sz w:val="16"/>
        <w:szCs w:val="16"/>
        <w:lang w:val="it-IT"/>
      </w:rPr>
      <w:t>_R.docx</w:t>
    </w:r>
    <w:r w:rsidRPr="00EC47B6">
      <w:rPr>
        <w:rFonts w:cs="Arial"/>
        <w:noProof/>
        <w:sz w:val="16"/>
        <w:szCs w:val="16"/>
      </w:rPr>
      <w:fldChar w:fldCharType="end"/>
    </w:r>
    <w:r w:rsidRPr="002D377F">
      <w:rPr>
        <w:rFonts w:cs="Arial"/>
        <w:snapToGrid w:val="0"/>
        <w:color w:val="000000"/>
        <w:sz w:val="16"/>
        <w:lang w:val="it-IT"/>
      </w:rPr>
      <w:tab/>
      <w:t xml:space="preserve">© 2024 CVS Caremark. </w:t>
    </w:r>
    <w:r w:rsidRPr="00EC47B6">
      <w:rPr>
        <w:rFonts w:cs="Arial"/>
        <w:snapToGrid w:val="0"/>
        <w:color w:val="000000"/>
        <w:sz w:val="16"/>
      </w:rPr>
      <w:t>All rights reserved.</w:t>
    </w:r>
  </w:p>
  <w:p w14:paraId="58BF48A2" w14:textId="77777777" w:rsidR="00283AE4" w:rsidRPr="00EC47B6" w:rsidRDefault="00283AE4" w:rsidP="00283AE4">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37E88D25" w14:textId="237DB39F" w:rsidR="00E20708" w:rsidRPr="00E20708" w:rsidRDefault="00283AE4" w:rsidP="00C5350B">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7B10A" w14:textId="77777777" w:rsidR="00C35F79" w:rsidRDefault="00C35F79">
      <w:r>
        <w:separator/>
      </w:r>
    </w:p>
  </w:footnote>
  <w:footnote w:type="continuationSeparator" w:id="0">
    <w:p w14:paraId="2B7127C4" w14:textId="77777777" w:rsidR="00C35F79" w:rsidRDefault="00C35F79">
      <w:r>
        <w:continuationSeparator/>
      </w:r>
    </w:p>
  </w:footnote>
  <w:footnote w:type="continuationNotice" w:id="1">
    <w:p w14:paraId="79A3AC83" w14:textId="77777777" w:rsidR="00C35F79" w:rsidRDefault="00C35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20708" w:rsidRPr="00E20708" w14:paraId="335796D1" w14:textId="77777777" w:rsidTr="00E20708">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6BEE62F7" w14:textId="77777777" w:rsidR="00E20708" w:rsidRPr="00E20708" w:rsidRDefault="00E20708" w:rsidP="00E20708">
          <w:pPr>
            <w:pStyle w:val="RefTableData"/>
          </w:pPr>
          <w:r w:rsidRPr="00E20708">
            <w:t>Reference number(s)</w:t>
          </w:r>
        </w:p>
      </w:tc>
    </w:tr>
    <w:tr w:rsidR="00E20708" w:rsidRPr="00E20708" w14:paraId="6968B4E9" w14:textId="77777777" w:rsidTr="0052217C">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424197C8" w14:textId="77777777" w:rsidR="00E20708" w:rsidRPr="00E20708" w:rsidRDefault="00E20708" w:rsidP="00E20708">
          <w:pPr>
            <w:pStyle w:val="RefTableHeader"/>
          </w:pPr>
          <w:r w:rsidRPr="00E20708">
            <w:t>2965-A</w:t>
          </w:r>
        </w:p>
      </w:tc>
    </w:tr>
  </w:tbl>
  <w:p w14:paraId="39FDFD1E" w14:textId="77777777" w:rsidR="00E20708" w:rsidRPr="00E20708" w:rsidRDefault="00E20708">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20708" w:rsidRPr="00E20708" w14:paraId="13AB2755" w14:textId="77777777" w:rsidTr="00E20708">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19E57AF7" w14:textId="77777777" w:rsidR="00E20708" w:rsidRPr="00E20708" w:rsidRDefault="00E20708" w:rsidP="00E20708">
          <w:pPr>
            <w:pStyle w:val="RefTableData"/>
          </w:pPr>
          <w:r w:rsidRPr="00E20708">
            <w:t>Reference number(s)</w:t>
          </w:r>
        </w:p>
      </w:tc>
    </w:tr>
    <w:tr w:rsidR="00E20708" w:rsidRPr="00E20708" w14:paraId="1F083089" w14:textId="77777777" w:rsidTr="0052217C">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81093F0" w14:textId="77777777" w:rsidR="00E20708" w:rsidRPr="00E20708" w:rsidRDefault="00E20708" w:rsidP="00E20708">
          <w:pPr>
            <w:pStyle w:val="RefTableHeader"/>
          </w:pPr>
          <w:r w:rsidRPr="00E20708">
            <w:t>2965-A</w:t>
          </w:r>
        </w:p>
      </w:tc>
    </w:tr>
  </w:tbl>
  <w:p w14:paraId="4260E2B1" w14:textId="77777777" w:rsidR="00E20708" w:rsidRPr="00E20708" w:rsidRDefault="00E20708">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77D27FA"/>
    <w:multiLevelType w:val="hybridMultilevel"/>
    <w:tmpl w:val="A8A4376E"/>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0F">
      <w:start w:val="1"/>
      <w:numFmt w:val="decimal"/>
      <w:lvlText w:val="%3."/>
      <w:lvlJc w:val="lef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0D078A"/>
    <w:multiLevelType w:val="hybridMultilevel"/>
    <w:tmpl w:val="5E5A2FE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A5F0582"/>
    <w:multiLevelType w:val="hybridMultilevel"/>
    <w:tmpl w:val="40ECF152"/>
    <w:lvl w:ilvl="0" w:tplc="0C2435C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4041CD"/>
    <w:multiLevelType w:val="hybridMultilevel"/>
    <w:tmpl w:val="546E8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CF6938"/>
    <w:multiLevelType w:val="hybridMultilevel"/>
    <w:tmpl w:val="A0880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31"/>
  </w:num>
  <w:num w:numId="18" w16cid:durableId="299724409">
    <w:abstractNumId w:val="25"/>
  </w:num>
  <w:num w:numId="19" w16cid:durableId="214585573">
    <w:abstractNumId w:val="14"/>
  </w:num>
  <w:num w:numId="20" w16cid:durableId="1289816170">
    <w:abstractNumId w:val="15"/>
  </w:num>
  <w:num w:numId="21" w16cid:durableId="1066490929">
    <w:abstractNumId w:val="32"/>
  </w:num>
  <w:num w:numId="22" w16cid:durableId="1472481103">
    <w:abstractNumId w:val="27"/>
  </w:num>
  <w:num w:numId="23" w16cid:durableId="1997420403">
    <w:abstractNumId w:val="29"/>
  </w:num>
  <w:num w:numId="24" w16cid:durableId="33312838">
    <w:abstractNumId w:val="26"/>
  </w:num>
  <w:num w:numId="25" w16cid:durableId="507404939">
    <w:abstractNumId w:val="17"/>
  </w:num>
  <w:num w:numId="26" w16cid:durableId="1950313333">
    <w:abstractNumId w:val="23"/>
  </w:num>
  <w:num w:numId="27" w16cid:durableId="1866016584">
    <w:abstractNumId w:val="21"/>
  </w:num>
  <w:num w:numId="28" w16cid:durableId="1080130497">
    <w:abstractNumId w:val="19"/>
  </w:num>
  <w:num w:numId="29" w16cid:durableId="1963031388">
    <w:abstractNumId w:val="30"/>
  </w:num>
  <w:num w:numId="30" w16cid:durableId="392003280">
    <w:abstractNumId w:val="22"/>
  </w:num>
  <w:num w:numId="31" w16cid:durableId="93595342">
    <w:abstractNumId w:val="20"/>
  </w:num>
  <w:num w:numId="32" w16cid:durableId="1254048786">
    <w:abstractNumId w:val="16"/>
  </w:num>
  <w:num w:numId="33" w16cid:durableId="23193374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09A"/>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480E"/>
    <w:rsid w:val="000C5A6F"/>
    <w:rsid w:val="000C625F"/>
    <w:rsid w:val="000C6C34"/>
    <w:rsid w:val="000C6FAA"/>
    <w:rsid w:val="000C7000"/>
    <w:rsid w:val="000C78EA"/>
    <w:rsid w:val="000C7B51"/>
    <w:rsid w:val="000C7EA2"/>
    <w:rsid w:val="000D0438"/>
    <w:rsid w:val="000D04AF"/>
    <w:rsid w:val="000D1049"/>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2E7A"/>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B6E"/>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0889"/>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0DA"/>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933"/>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3C5C"/>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6545"/>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3AE4"/>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77F"/>
    <w:rsid w:val="002D378D"/>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389"/>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3CB1"/>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5ED0"/>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1E4"/>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712"/>
    <w:rsid w:val="00552A6C"/>
    <w:rsid w:val="00552AD2"/>
    <w:rsid w:val="005539ED"/>
    <w:rsid w:val="00553C00"/>
    <w:rsid w:val="00554C8D"/>
    <w:rsid w:val="005553FE"/>
    <w:rsid w:val="005555FB"/>
    <w:rsid w:val="00556A6F"/>
    <w:rsid w:val="0055710E"/>
    <w:rsid w:val="00557392"/>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0C6"/>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69DF"/>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41F9"/>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81C"/>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818"/>
    <w:rsid w:val="007061F8"/>
    <w:rsid w:val="00706B11"/>
    <w:rsid w:val="00706FB2"/>
    <w:rsid w:val="00707218"/>
    <w:rsid w:val="00707409"/>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2B4"/>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36220"/>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56"/>
    <w:rsid w:val="008D31AD"/>
    <w:rsid w:val="008D3802"/>
    <w:rsid w:val="008D57F5"/>
    <w:rsid w:val="008D5871"/>
    <w:rsid w:val="008D5BCA"/>
    <w:rsid w:val="008E07BA"/>
    <w:rsid w:val="008E0BDD"/>
    <w:rsid w:val="008E0D4E"/>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3F3"/>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2A02"/>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9FF"/>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1CC7"/>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2BC3"/>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6A35"/>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5ED4"/>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5F79"/>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50B"/>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6FC"/>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0A6"/>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2D0"/>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305"/>
    <w:rsid w:val="00E13FD8"/>
    <w:rsid w:val="00E1542D"/>
    <w:rsid w:val="00E159FD"/>
    <w:rsid w:val="00E15EC4"/>
    <w:rsid w:val="00E165CF"/>
    <w:rsid w:val="00E166ED"/>
    <w:rsid w:val="00E1699F"/>
    <w:rsid w:val="00E20708"/>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5D0"/>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236E"/>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3FD8"/>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603"/>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4BB1"/>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F98"/>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1D"/>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4AC5"/>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353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49634027">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633026-D6DB-40D4-94CB-9FB2DDA41A97}"/>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f12d986e-a3b2-47c4-a5f7-26efe88ca3fd"/>
    <ds:schemaRef ds:uri="59666d2b-6805-40f4-84c3-41e8a53a80d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Balversa 2965-A SGM 2024</vt:lpstr>
    </vt:vector>
  </TitlesOfParts>
  <Company>PCS Health Systems</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Balversa 2965-A SGM 2024</dc:title>
  <dc:subject/>
  <dc:creator>CVS Caremark</dc:creator>
  <cp:keywords/>
  <cp:lastModifiedBy>Huerta, Linda M</cp:lastModifiedBy>
  <cp:revision>4</cp:revision>
  <cp:lastPrinted>2018-01-09T11:01:00Z</cp:lastPrinted>
  <dcterms:created xsi:type="dcterms:W3CDTF">2025-01-03T00:18:00Z</dcterms:created>
  <dcterms:modified xsi:type="dcterms:W3CDTF">2025-07-22T16:42:00Z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1568500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